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44"/>
        </w:rPr>
      </w:pPr>
      <w:bookmarkStart w:id="0" w:name="SOA_Title"/>
      <w:r>
        <w:rPr>
          <w:rFonts w:hint="eastAsia" w:ascii="方正小标宋简体" w:hAnsi="宋体" w:eastAsia="方正小标宋简体"/>
          <w:snapToGrid w:val="0"/>
          <w:kern w:val="0"/>
          <w:sz w:val="44"/>
        </w:rPr>
        <w:t>关于</w:t>
      </w:r>
      <w:r>
        <w:rPr>
          <w:rFonts w:ascii="方正小标宋简体" w:hAnsi="宋体" w:eastAsia="方正小标宋简体"/>
          <w:snapToGrid w:val="0"/>
          <w:kern w:val="0"/>
          <w:sz w:val="44"/>
        </w:rPr>
        <w:t>2020年晋江市中小学幼儿园教师岗位培训工作安排的通知</w:t>
      </w:r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bookmarkStart w:id="1" w:name="SOA_Context"/>
      <w:bookmarkEnd w:id="1"/>
      <w:r>
        <w:rPr>
          <w:rFonts w:hint="eastAsia" w:ascii="仿宋_GB2312" w:hAnsi="仿宋_GB2312" w:cs="仿宋_GB2312"/>
          <w:szCs w:val="32"/>
        </w:rPr>
        <w:t>按照《关于举办2020年晋江市中小学幼儿园教师岗位培训的通知》（晋进明电〔2020〕178号）文件要求，现将2020年晋江市中小学幼儿园教师岗位培训工作安排如下：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培训对象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报名参训的中小学幼儿园教师（见附件1）。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培训时间</w:t>
      </w:r>
      <w:bookmarkStart w:id="2" w:name="_GoBack"/>
      <w:bookmarkEnd w:id="2"/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即日起至</w:t>
      </w:r>
      <w:r>
        <w:rPr>
          <w:rFonts w:hint="eastAsia" w:ascii="仿宋_GB2312" w:hAnsi="仿宋_GB2312" w:cs="仿宋_GB2312"/>
          <w:bCs/>
          <w:szCs w:val="32"/>
        </w:rPr>
        <w:t>2020年12月6日。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培训网址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1.2020jjgw.yanxiu.com（中国教师研修网）。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账号及密码见附件1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培训内容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围绕学科核心素养，以学科教师面临的实际教学问题为中心，分类设计研修主题。本次远程培训内容分两部分：师德修养类课程和学科类课程。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培训考核标准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培训具体考核办法见各培训平台操作指南（见附件2）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培训注意事项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1.参训学员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（1）务必注意，截止到</w:t>
      </w:r>
      <w:r>
        <w:rPr>
          <w:rFonts w:hint="eastAsia" w:ascii="仿宋_GB2312" w:hAnsi="仿宋_GB2312" w:cs="仿宋_GB2312"/>
          <w:bCs/>
          <w:szCs w:val="32"/>
        </w:rPr>
        <w:t>11月6日</w:t>
      </w:r>
      <w:r>
        <w:rPr>
          <w:rFonts w:hint="eastAsia" w:ascii="仿宋_GB2312" w:hAnsi="仿宋_GB2312" w:cs="仿宋_GB2312"/>
          <w:szCs w:val="32"/>
        </w:rPr>
        <w:t>24:00，如还未登录平台学习的（包含登录平台但没有课程学习记录的，数据将以平台方提供的为准），</w:t>
      </w:r>
      <w:r>
        <w:rPr>
          <w:rFonts w:hint="eastAsia" w:ascii="仿宋_GB2312" w:hAnsi="仿宋_GB2312" w:cs="仿宋_GB2312"/>
          <w:bCs/>
          <w:szCs w:val="32"/>
        </w:rPr>
        <w:t>账号将被取消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bCs/>
          <w:szCs w:val="32"/>
        </w:rPr>
        <w:t>账号保留者必须完成培训</w:t>
      </w:r>
      <w:r>
        <w:rPr>
          <w:rFonts w:hint="eastAsia" w:ascii="仿宋_GB2312" w:hAnsi="仿宋_GB2312" w:cs="仿宋_GB231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（2）整个培训截止期后</w:t>
      </w:r>
      <w:r>
        <w:rPr>
          <w:rFonts w:hint="eastAsia" w:ascii="仿宋_GB2312" w:hAnsi="仿宋_GB2312" w:cs="仿宋_GB2312"/>
          <w:bCs/>
          <w:szCs w:val="32"/>
        </w:rPr>
        <w:t>（12月6日）不延长学习时间</w:t>
      </w:r>
      <w:r>
        <w:rPr>
          <w:rFonts w:hint="eastAsia" w:ascii="仿宋_GB2312" w:hAnsi="仿宋_GB2312" w:cs="仿宋_GB2312"/>
          <w:szCs w:val="32"/>
        </w:rPr>
        <w:t>，请注意学习时间的安排；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（3）登录平台前，务必确认账号为本人账号，以免误登他人账号造成不必要的麻烦；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（4）务必认真阅读相应的平台操作指南中所有内容（含咨询联系方式），按要求进行课程学习，完成相关学习任务；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（5）培训调查问卷为考核内容，必须完成；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（6）</w:t>
      </w:r>
      <w:r>
        <w:rPr>
          <w:rFonts w:hint="eastAsia" w:ascii="仿宋_GB2312" w:hAnsi="仿宋_GB2312" w:cs="仿宋_GB2312"/>
          <w:bCs/>
          <w:szCs w:val="32"/>
        </w:rPr>
        <w:t>培训不合格者，明年不得参加教师岗位培训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2.参训单位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（1）务必及时转发本通知，并派专人负责督促参训学员及时进行学习；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（2）本培训分四个平台，各平台分配对象见附件1；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（3）报名参训的图书馆管理员、财务、校医等非教师教学岗位的人员不属于本次培训对象；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361" w:bottom="1474" w:left="1474" w:header="0" w:footer="1588" w:gutter="0"/>
      <w:pgNumType w:fmt="numberInDash" w:start="1"/>
      <w:cols w:space="425" w:num="1"/>
      <w:titlePg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text" w:hAnchor="page" w:x="5641" w:y="4"/>
      <w:spacing w:line="240" w:lineRule="exact"/>
      <w:rPr>
        <w:rStyle w:val="6"/>
        <w:sz w:val="28"/>
      </w:rPr>
    </w:pPr>
    <w:r>
      <w:rPr>
        <w:rStyle w:val="6"/>
        <w:kern w:val="0"/>
        <w:sz w:val="28"/>
      </w:rPr>
      <w:fldChar w:fldCharType="begin"/>
    </w:r>
    <w:r>
      <w:rPr>
        <w:rStyle w:val="6"/>
        <w:kern w:val="0"/>
        <w:sz w:val="28"/>
      </w:rPr>
      <w:instrText xml:space="preserve"> PAGE </w:instrText>
    </w:r>
    <w:r>
      <w:rPr>
        <w:rStyle w:val="6"/>
        <w:kern w:val="0"/>
        <w:sz w:val="28"/>
      </w:rPr>
      <w:fldChar w:fldCharType="separate"/>
    </w:r>
    <w:r>
      <w:rPr>
        <w:rStyle w:val="6"/>
        <w:kern w:val="0"/>
        <w:sz w:val="28"/>
      </w:rPr>
      <w:t>- 2 -</w:t>
    </w:r>
    <w:r>
      <w:rPr>
        <w:rStyle w:val="6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0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932" w:type="dxa"/>
      <w:tblInd w:w="108" w:type="dxa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32"/>
    </w:tblGrid>
    <w:tr>
      <w:tblPrEx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</w:tblPrEx>
      <w:trPr>
        <w:trHeight w:val="400" w:hRule="atLeast"/>
      </w:trPr>
      <w:tc>
        <w:tcPr>
          <w:tcW w:w="8932" w:type="dxa"/>
          <w:tcBorders>
            <w:left w:val="nil"/>
            <w:bottom w:val="nil"/>
            <w:right w:val="nil"/>
          </w:tcBorders>
          <w:noWrap w:val="0"/>
          <w:vAlign w:val="top"/>
        </w:tcPr>
        <w:p>
          <w:pPr>
            <w:pStyle w:val="2"/>
            <w:spacing w:line="400" w:lineRule="exact"/>
            <w:ind w:left="-61" w:leftChars="-19" w:right="-106" w:rightChars="-33" w:firstLine="2160" w:firstLineChars="900"/>
            <w:rPr>
              <w:sz w:val="24"/>
            </w:rPr>
          </w:pPr>
          <w:r>
            <w:rPr>
              <w:rFonts w:hint="eastAsia" w:eastAsia="楷体_GB2312"/>
              <w:sz w:val="24"/>
            </w:rPr>
            <w:t xml:space="preserve">                     </w:t>
          </w:r>
          <w:r>
            <w:rPr>
              <w:rFonts w:eastAsia="楷体_GB2312"/>
              <w:sz w:val="24"/>
            </w:rPr>
            <w:t xml:space="preserve"> </w:t>
          </w:r>
          <w:r>
            <w:rPr>
              <w:rFonts w:hint="eastAsia" w:eastAsia="楷体_GB2312"/>
              <w:sz w:val="24"/>
            </w:rPr>
            <w:t xml:space="preserve">                        共</w:t>
          </w:r>
          <w:r>
            <w:rPr>
              <w:rStyle w:val="6"/>
            </w:rPr>
            <w:fldChar w:fldCharType="begin"/>
          </w:r>
          <w:r>
            <w:rPr>
              <w:rStyle w:val="6"/>
            </w:rPr>
            <w:instrText xml:space="preserve"> NUMPAGES </w:instrText>
          </w:r>
          <w:r>
            <w:rPr>
              <w:rStyle w:val="6"/>
            </w:rPr>
            <w:fldChar w:fldCharType="separate"/>
          </w:r>
          <w:r>
            <w:rPr>
              <w:rStyle w:val="6"/>
            </w:rPr>
            <w:t>4</w:t>
          </w:r>
          <w:r>
            <w:rPr>
              <w:rStyle w:val="6"/>
            </w:rPr>
            <w:fldChar w:fldCharType="end"/>
          </w:r>
          <w:r>
            <w:rPr>
              <w:rFonts w:hint="eastAsia" w:eastAsia="楷体_GB2312"/>
              <w:sz w:val="24"/>
            </w:rPr>
            <w:t>页</w:t>
          </w:r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038CC"/>
    <w:multiLevelType w:val="singleLevel"/>
    <w:tmpl w:val="DD7038CC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4F7A"/>
    <w:rsid w:val="2FD14F7A"/>
    <w:rsid w:val="6FA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2020-10-28T00:49:00Z</dcterms:created>
  <dc:creator>Administrator</dc:creator>
  <cp:lastModifiedBy>Administrator</cp:lastModifiedBy>
  <dcterms:modified xsi:type="dcterms:W3CDTF">2020-10-28T01:01:57Z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